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</w:t>
      </w:r>
      <w:r>
        <w:rPr>
          <w:rFonts w:hint="eastAsia"/>
        </w:rPr>
        <w:t xml:space="preserve">          </w:t>
      </w:r>
    </w:p>
    <w:p/>
    <w:p>
      <w:pPr>
        <w:rPr>
          <w:sz w:val="28"/>
          <w:szCs w:val="28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586740</wp:posOffset>
            </wp:positionV>
            <wp:extent cx="5431790" cy="2065020"/>
            <wp:effectExtent l="0" t="0" r="16510" b="11430"/>
            <wp:wrapNone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rcRect l="1889" r="1335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32"/>
        </w:rPr>
        <w:t xml:space="preserve">     </w:t>
      </w: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spacing w:before="323" w:beforeLines="100" w:after="161" w:afterLines="50"/>
        <w:jc w:val="center"/>
        <w:rPr>
          <w:rFonts w:hint="eastAsia" w:eastAsia="黑体"/>
          <w:szCs w:val="21"/>
        </w:rPr>
      </w:pPr>
      <w:r>
        <w:rPr>
          <w:rFonts w:eastAsia="仿宋_GB2312"/>
          <w:sz w:val="32"/>
          <w:szCs w:val="32"/>
        </w:rPr>
        <w:t>晋市</w:t>
      </w:r>
      <w:r>
        <w:rPr>
          <w:rFonts w:hint="eastAsia" w:eastAsia="仿宋_GB2312"/>
          <w:sz w:val="32"/>
          <w:szCs w:val="32"/>
        </w:rPr>
        <w:t>老体字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16</w:t>
      </w:r>
      <w:r>
        <w:rPr>
          <w:rFonts w:eastAsia="仿宋_GB2312"/>
          <w:sz w:val="32"/>
          <w:szCs w:val="32"/>
        </w:rPr>
        <w:t>号</w:t>
      </w:r>
    </w:p>
    <w:p>
      <w:pPr>
        <w:spacing w:line="240" w:lineRule="exact"/>
        <w:rPr>
          <w:rFonts w:hint="eastAsia" w:eastAsia="黑体"/>
          <w:szCs w:val="21"/>
        </w:rPr>
      </w:pP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caps w:val="0"/>
          <w:color w:val="000000"/>
          <w:spacing w:val="0"/>
          <w:sz w:val="36"/>
          <w:szCs w:val="36"/>
          <w:shd w:val="clear" w:fill="FFFFFF"/>
        </w:rPr>
        <w:t>关于组织开展2021年全国老年人健步走大联动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晋城分会场</w:t>
      </w:r>
      <w:r>
        <w:rPr>
          <w:rFonts w:hint="eastAsia" w:asciiTheme="majorEastAsia" w:hAnsiTheme="majorEastAsia" w:eastAsiaTheme="majorEastAsia" w:cstheme="majorEastAsia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caps w:val="0"/>
          <w:color w:val="000000"/>
          <w:spacing w:val="0"/>
          <w:sz w:val="36"/>
          <w:szCs w:val="36"/>
          <w:shd w:val="clear" w:fill="FFFFFF"/>
        </w:rPr>
        <w:t>活动的通知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right="0" w:firstLine="600" w:firstLineChars="200"/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right="0"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各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县（市、区）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晋能装备制造集团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老体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协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，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市老体协金融分会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市老体协各专项委员会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为进一步引导老年人投入全民健身，推广普及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健步走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运动，提升科学健走效能，增进身体健康。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根据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中国老体协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关于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举办全国老年人健步走大联动活动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的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安排，市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老体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协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拟于2021年11月11日继续在全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市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开展“全国老年人健步走大联动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晋城分会场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”活动。现将有关事宜通知如下：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一、活动时间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2021年11月11日，各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县（市、区）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可根据当地气候情况调整时间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二、组织机构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(一)主办单位：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晋城市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老年人体育协会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(二)承办单位：全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市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各级老年人体育协会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(三)协办单位：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晋城市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老年人体育协会健步走专项委员会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三、活动主题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庆建党百年华诞、展银龄康乐风采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四、活动目的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通过倡导全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市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各级老体协在当地以健步走的方式，动员更广泛的老年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群体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参加体育健身，提高老年人参与体育健身的自觉性和广泛性，努力为广大老年人提供体育健身服务。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五、活动安排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(一)2021年全国老年人健步走大联动活动设立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晋城分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会场，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城区、泽州县、晋能集团老体协、市老体协金融分会及各专项委员会参加市分会场活动。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各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市、区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及乡镇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老体协可根据本地区特点，因地制宜开展“2021年全国老年人健步走大联动分会场”活动。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600"/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(二)2021年全国老年人健步走大联动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晋城分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会场活动设在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市开发区花园水系公园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600"/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（三）市分会场活动将安排国家及省有关方面推广，适宜老年群体参加的体育健身项目展示活动。要求城区、泽州县、晋能集团老体协、市老体协金融分会及各专项委员会根据各自情况，精选一个项目进行现场展演。每个展演项目时长在六分钟以内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600" w:leftChars="0" w:right="0" w:right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六、活动要求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(一)各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市、区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及乡镇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分会场要围绕本次活动主题，结合地域特色，面向基层、面向群众、贴近实际组织开展健步走活动，与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市分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会场活动形成联动。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(二)充分利用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各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传媒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手段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，加大对本次活动的宣传力度，营造良好的宣传氛围。宣传工作要突出活动的公益性、示范性、导向性，提倡科学健身，以增强人民群众的健身意识、提高人民健康水平，积极引导更多的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老年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群众参与全民健身。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(三)周密部署，精心组织，要把安全和疫情防控放在首要位置，尤其要做好针对老年群体参与体育健身活动的安全宣传和指导，制定严密的安全防范预案，疫情防控方案，确保活动安全、有序、精彩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成功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(四)活动结束后，请各级老体协将举办分会场活动情况的文字总结、活动图片、活动视频等资料，于2021年12月1日前以电子邮件方式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报市老体协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jc w:val="righ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晋城市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老年人体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育协会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　　2021年10月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shd w:val="clear" w:fill="FFFFFF"/>
        </w:rPr>
        <w:t>日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5324C"/>
    <w:rsid w:val="0829286D"/>
    <w:rsid w:val="0FAC5330"/>
    <w:rsid w:val="1F1A1BE5"/>
    <w:rsid w:val="2A3C6476"/>
    <w:rsid w:val="3DD5324C"/>
    <w:rsid w:val="49520A68"/>
    <w:rsid w:val="54712BD4"/>
    <w:rsid w:val="5476567F"/>
    <w:rsid w:val="554C5DE5"/>
    <w:rsid w:val="62E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2021-10-19T01:43:00Z</dcterms:created>
  <dc:creator>LENOVO</dc:creator>
  <cp:lastModifiedBy>王平</cp:lastModifiedBy>
  <cp:lastPrinted>2021-10-19T07:53:36Z</cp:lastPrinted>
  <dcterms:modified xsi:type="dcterms:W3CDTF">2021-10-19T07:56:09Z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99C464BFE7EF4F6383C9D944A57266DE</vt:lpwstr>
  </property>
</Properties>
</file>